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b/>
          <w:sz w:val="24"/>
          <w:u w:val="single"/>
        </w:rPr>
        <w:t>Brief Timeline of Early Church</w:t>
      </w:r>
      <w:r>
        <w:rPr>
          <w:rFonts w:cs="Times" w:ascii="Times" w:hAnsi="Times"/>
          <w:sz w:val="24"/>
        </w:rPr>
        <w:t>: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60-135?</w:t>
        <w:tab/>
        <w:tab/>
        <w:t>Papias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64</w:t>
        <w:tab/>
        <w:tab/>
        <w:tab/>
        <w:t>Great Fire of Rome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64-8</w:t>
        <w:tab/>
        <w:tab/>
        <w:tab/>
        <w:t>Nero’s punishment of the Christians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70</w:t>
        <w:tab/>
        <w:tab/>
        <w:tab/>
        <w:t>Destruction of the temple in Jerusalem</w:t>
      </w:r>
    </w:p>
    <w:p>
      <w:pPr>
        <w:pStyle w:val="TextBodyIndent"/>
        <w:ind w:left="0" w:hanging="0"/>
        <w:rPr>
          <w:rFonts w:ascii="Times" w:hAnsi="Times" w:cs="Times"/>
          <w:i/>
          <w:i/>
          <w:sz w:val="24"/>
        </w:rPr>
      </w:pPr>
      <w:r>
        <w:rPr>
          <w:rFonts w:cs="Times" w:ascii="Times" w:hAnsi="Times"/>
          <w:sz w:val="24"/>
        </w:rPr>
        <w:t>70-135</w:t>
        <w:tab/>
        <w:tab/>
        <w:tab/>
      </w:r>
      <w:r>
        <w:rPr>
          <w:rFonts w:cs="Times" w:ascii="Times" w:hAnsi="Times"/>
          <w:i/>
          <w:sz w:val="24"/>
        </w:rPr>
        <w:t>Letter of Barnabas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95?</w:t>
        <w:tab/>
        <w:tab/>
        <w:tab/>
      </w:r>
      <w:r>
        <w:rPr>
          <w:rFonts w:cs="Times" w:ascii="Times" w:hAnsi="Times"/>
          <w:i/>
          <w:sz w:val="24"/>
        </w:rPr>
        <w:t>1 Clement</w:t>
      </w:r>
    </w:p>
    <w:p>
      <w:pPr>
        <w:pStyle w:val="TextBodyIndent"/>
        <w:ind w:left="0" w:hanging="0"/>
        <w:rPr>
          <w:rFonts w:ascii="Times" w:hAnsi="Times" w:cs="Times"/>
          <w:i/>
          <w:i/>
          <w:sz w:val="24"/>
        </w:rPr>
      </w:pPr>
      <w:r>
        <w:rPr>
          <w:rFonts w:cs="Times" w:ascii="Times" w:hAnsi="Times"/>
          <w:sz w:val="24"/>
        </w:rPr>
        <w:t>96?</w:t>
        <w:tab/>
        <w:tab/>
        <w:tab/>
      </w:r>
      <w:r>
        <w:rPr>
          <w:rFonts w:cs="Times" w:ascii="Times" w:hAnsi="Times"/>
          <w:i/>
          <w:sz w:val="24"/>
        </w:rPr>
        <w:t>2 Clement</w:t>
      </w:r>
    </w:p>
    <w:p>
      <w:pPr>
        <w:pStyle w:val="TextBodyIndent"/>
        <w:ind w:left="0" w:hanging="0"/>
        <w:rPr>
          <w:rFonts w:ascii="Times" w:hAnsi="Times" w:cs="Times"/>
          <w:i/>
          <w:i/>
          <w:sz w:val="24"/>
        </w:rPr>
      </w:pPr>
      <w:r>
        <w:rPr>
          <w:rFonts w:cs="Times" w:ascii="Times" w:hAnsi="Times"/>
          <w:sz w:val="24"/>
        </w:rPr>
        <w:t>100?</w:t>
        <w:tab/>
        <w:tab/>
        <w:tab/>
      </w:r>
      <w:r>
        <w:rPr>
          <w:rFonts w:cs="Times" w:ascii="Times" w:hAnsi="Times"/>
          <w:i/>
          <w:sz w:val="24"/>
        </w:rPr>
        <w:t>The Didache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100-165</w:t>
        <w:tab/>
        <w:tab/>
        <w:t>Justin Martyr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110</w:t>
        <w:tab/>
        <w:tab/>
        <w:tab/>
        <w:t>Martyrdom of Ignatius</w:t>
      </w:r>
    </w:p>
    <w:p>
      <w:pPr>
        <w:pStyle w:val="TextBodyIndent"/>
        <w:ind w:left="0" w:hanging="0"/>
        <w:rPr>
          <w:rFonts w:ascii="Times" w:hAnsi="Times" w:cs="Times"/>
          <w:i/>
          <w:i/>
          <w:sz w:val="24"/>
        </w:rPr>
      </w:pPr>
      <w:r>
        <w:rPr>
          <w:rFonts w:cs="Times" w:ascii="Times" w:hAnsi="Times"/>
          <w:sz w:val="24"/>
        </w:rPr>
        <w:t>110-40?</w:t>
        <w:tab/>
        <w:tab/>
      </w:r>
      <w:r>
        <w:rPr>
          <w:rFonts w:cs="Times" w:ascii="Times" w:hAnsi="Times"/>
          <w:i/>
          <w:sz w:val="24"/>
        </w:rPr>
        <w:t>The Shepherd of Hermas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130-200</w:t>
        <w:tab/>
        <w:tab/>
        <w:t>Irenaeus of Lyons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150-90</w:t>
        <w:tab/>
        <w:tab/>
        <w:tab/>
      </w:r>
      <w:r>
        <w:rPr>
          <w:rFonts w:cs="Times" w:ascii="Times" w:hAnsi="Times"/>
          <w:i/>
          <w:sz w:val="24"/>
        </w:rPr>
        <w:t>Letter to Diognetus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155?</w:t>
        <w:tab/>
        <w:tab/>
        <w:tab/>
        <w:t>Martyrdom of Polycarp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160-225</w:t>
        <w:tab/>
        <w:tab/>
        <w:t>Tertullian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303-312</w:t>
        <w:tab/>
        <w:tab/>
        <w:t>The “Great Persecution”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312</w:t>
        <w:tab/>
        <w:tab/>
        <w:tab/>
        <w:t>Conversion of emperor Constantine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325</w:t>
        <w:tab/>
        <w:tab/>
        <w:tab/>
        <w:t>Council of Nicea</w:t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Indent"/>
        <w:ind w:left="0" w:hanging="0"/>
        <w:rPr>
          <w:rFonts w:ascii="Times" w:hAnsi="Times" w:cs="Times"/>
          <w:sz w:val="24"/>
        </w:rPr>
      </w:pPr>
      <w:r>
        <w:rPr>
          <w:rFonts w:cs="Times" w:ascii="Times" w:hAnsi="Times"/>
          <w:b/>
          <w:sz w:val="24"/>
          <w:u w:val="single"/>
        </w:rPr>
        <w:t>Further Reading</w:t>
      </w:r>
      <w:r>
        <w:rPr>
          <w:rFonts w:cs="Times" w:ascii="Times" w:hAnsi="Times"/>
          <w:sz w:val="24"/>
        </w:rPr>
        <w:t xml:space="preserve">: </w:t>
      </w:r>
    </w:p>
    <w:p>
      <w:pPr>
        <w:pStyle w:val="TextBodyIndent"/>
        <w:numPr>
          <w:ilvl w:val="0"/>
          <w:numId w:val="6"/>
        </w:numPr>
        <w:rPr>
          <w:rFonts w:ascii="Times" w:hAnsi="Times" w:cs="Times"/>
          <w:i/>
          <w:i/>
          <w:sz w:val="24"/>
        </w:rPr>
      </w:pPr>
      <w:r>
        <w:rPr>
          <w:rFonts w:cs="Times" w:ascii="Times" w:hAnsi="Times"/>
          <w:sz w:val="24"/>
        </w:rPr>
        <w:t xml:space="preserve">Michael Reeves, </w:t>
      </w:r>
      <w:r>
        <w:rPr>
          <w:rFonts w:cs="Times" w:ascii="Times" w:hAnsi="Times"/>
          <w:i/>
          <w:sz w:val="24"/>
        </w:rPr>
        <w:t>Breeze Through the Centuries</w:t>
      </w:r>
    </w:p>
    <w:p>
      <w:pPr>
        <w:pStyle w:val="TextBodyIndent"/>
        <w:numPr>
          <w:ilvl w:val="0"/>
          <w:numId w:val="6"/>
        </w:numPr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 xml:space="preserve">Henry Chadwick, </w:t>
      </w:r>
      <w:r>
        <w:rPr>
          <w:rFonts w:cs="Times" w:ascii="Times" w:hAnsi="Times"/>
          <w:i/>
          <w:sz w:val="24"/>
        </w:rPr>
        <w:t>The Early Church</w:t>
      </w:r>
    </w:p>
    <w:p>
      <w:pPr>
        <w:pStyle w:val="TextBodyIndent"/>
        <w:numPr>
          <w:ilvl w:val="0"/>
          <w:numId w:val="6"/>
        </w:numPr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 xml:space="preserve">Andreas Kostenberger and Michael Kruger, </w:t>
      </w:r>
      <w:r>
        <w:rPr>
          <w:rFonts w:cs="Times" w:ascii="Times" w:hAnsi="Times"/>
          <w:i/>
          <w:sz w:val="24"/>
        </w:rPr>
        <w:t>The Heresy of Orthodoxy: How Contemporary Culture's Fascination with Diversity Has Reshaped Our Understanding of Early Christianity</w:t>
      </w:r>
    </w:p>
    <w:p>
      <w:pPr>
        <w:pStyle w:val="TextBodyIndent"/>
        <w:ind w:left="0" w:hanging="0"/>
        <w:rPr>
          <w:rFonts w:ascii="Times" w:hAnsi="Times" w:cs="Times"/>
          <w:i/>
          <w:i/>
          <w:sz w:val="26"/>
        </w:rPr>
      </w:pPr>
      <w:r>
        <w:rPr>
          <w:rFonts w:cs="Times" w:ascii="Times" w:hAnsi="Times"/>
          <w:i/>
          <w:sz w:val="26"/>
        </w:rPr>
      </w:r>
    </w:p>
    <w:p>
      <w:pPr>
        <w:pStyle w:val="TextBodyIndent"/>
        <w:ind w:left="0" w:hanging="0"/>
        <w:rPr>
          <w:rFonts w:ascii="Times" w:hAnsi="Times" w:cs="Times"/>
          <w:i/>
          <w:i/>
          <w:sz w:val="26"/>
        </w:rPr>
      </w:pPr>
      <w:r>
        <w:rPr>
          <w:rFonts w:cs="Times" w:ascii="Times" w:hAnsi="Times"/>
          <w:i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 xml:space="preserve">Teachers email: justin.sok@gmail.com; </w:t>
      </w:r>
      <w:r>
        <w:rPr>
          <w:rFonts w:cs="Times" w:ascii="Times" w:hAnsi="Times"/>
          <w:sz w:val="26"/>
        </w:rPr>
        <w:t>eric.beach@capbap.org</w:t>
      </w:r>
      <w:r>
        <w:rPr>
          <w:rFonts w:cs="Times" w:ascii="Times" w:hAnsi="Times"/>
          <w:sz w:val="26"/>
        </w:rPr>
        <w:t>; davidwilezol@gmail.com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b/>
          <w:b/>
          <w:sz w:val="26"/>
        </w:rPr>
      </w:pPr>
      <w:r>
        <w:rPr>
          <w:rFonts w:cs="Times" w:ascii="Times" w:hAnsi="Times"/>
          <w:b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-103505</wp:posOffset>
                </wp:positionV>
                <wp:extent cx="4458335" cy="19685"/>
                <wp:effectExtent l="19050" t="38100" r="38100" b="3810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880" cy="1908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55pt,-8.95pt" to="343.4pt,-7.5pt" ID="Line 2" stroked="t" style="position:absolute;flip:y">
                <v:stroke color="black" weight="76320" joinstyle="round" endcap="flat"/>
                <v:fill on="false" o:detectmouseclick="t"/>
              </v:line>
            </w:pict>
          </mc:Fallback>
        </mc:AlternateContent>
      </w:r>
      <w:r>
        <w:rPr>
          <w:rFonts w:cs="Times" w:ascii="Times" w:hAnsi="Times"/>
          <w:b/>
          <w:sz w:val="26"/>
        </w:rPr>
        <w:t>Capitol Hill Baptist Church           Church History – Class 2 CORE SEMINARS</w:t>
        <w:tab/>
        <w:tab/>
        <w:tab/>
        <w:tab/>
        <w:tab/>
        <w:tab/>
        <w:tab/>
      </w:r>
    </w:p>
    <w:p>
      <w:pPr>
        <w:pStyle w:val="Heading1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  <w:t>Gathering the Saints, and Defending the Faith</w:t>
      </w:r>
    </w:p>
    <w:p>
      <w:pPr>
        <w:pStyle w:val="Normal"/>
        <w:jc w:val="center"/>
        <w:rPr>
          <w:rFonts w:ascii="Times" w:hAnsi="Times" w:cs="Times"/>
          <w:i/>
          <w:i/>
          <w:iCs/>
          <w:sz w:val="28"/>
        </w:rPr>
      </w:pPr>
      <w:r>
        <w:rPr>
          <w:rFonts w:cs="Times" w:ascii="Times" w:hAnsi="Times"/>
          <w:i/>
          <w:iCs/>
          <w:sz w:val="28"/>
        </w:rPr>
        <w:t xml:space="preserve">The Development of </w:t>
      </w:r>
      <w:bookmarkStart w:id="0" w:name="_GoBack"/>
      <w:bookmarkEnd w:id="0"/>
      <w:r>
        <w:rPr>
          <w:rFonts w:cs="Times" w:ascii="Times" w:hAnsi="Times"/>
          <w:i/>
          <w:iCs/>
          <w:sz w:val="28"/>
        </w:rPr>
        <w:t xml:space="preserve">Scripture, Worship, and Leadership </w:t>
      </w:r>
    </w:p>
    <w:p>
      <w:pPr>
        <w:pStyle w:val="Normal"/>
        <w:jc w:val="center"/>
        <w:rPr>
          <w:rFonts w:ascii="Times" w:hAnsi="Times" w:cs="Times"/>
          <w:sz w:val="28"/>
        </w:rPr>
      </w:pPr>
      <w:r>
        <w:rPr>
          <w:rFonts w:cs="Times" w:ascii="Times" w:hAnsi="Times"/>
          <w:i/>
          <w:iCs/>
          <w:sz w:val="28"/>
        </w:rPr>
        <w:t>in the Early Church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TextBody"/>
        <w:rPr>
          <w:rFonts w:ascii="Times" w:hAnsi="Times" w:cs="Times"/>
          <w:szCs w:val="18"/>
        </w:rPr>
      </w:pPr>
      <w:r>
        <w:rPr>
          <w:rFonts w:cs="Times" w:ascii="Times" w:hAnsi="Times"/>
          <w:szCs w:val="18"/>
        </w:rPr>
        <w:t>“</w:t>
      </w:r>
      <w:r>
        <w:rPr>
          <w:rFonts w:cs="Times" w:ascii="Times" w:hAnsi="Times"/>
          <w:szCs w:val="18"/>
        </w:rPr>
        <w:t>Let us hold fast the confession of our hope without wavering…not forsaking our own assembling together, as is the habit of some, but encouraging one another; and all the more, as you see the day drawing near.”  Hebrews 10: 23, 2</w:t>
      </w:r>
    </w:p>
    <w:p>
      <w:pPr>
        <w:pStyle w:val="TextBody"/>
        <w:rPr>
          <w:rFonts w:ascii="Times" w:hAnsi="Times" w:cs="Times"/>
          <w:szCs w:val="9"/>
        </w:rPr>
      </w:pPr>
      <w:r>
        <w:rPr>
          <w:rFonts w:cs="Times" w:ascii="Times" w:hAnsi="Times"/>
          <w:szCs w:val="9"/>
        </w:rPr>
      </w:r>
    </w:p>
    <w:p>
      <w:pPr>
        <w:pStyle w:val="TextBody"/>
        <w:rPr>
          <w:rFonts w:ascii="Times" w:hAnsi="Times" w:cs="Times"/>
          <w:i w:val="false"/>
          <w:i w:val="false"/>
          <w:sz w:val="26"/>
          <w:szCs w:val="18"/>
        </w:rPr>
      </w:pPr>
      <w:r>
        <w:rPr>
          <w:rFonts w:cs="Times" w:ascii="Times" w:hAnsi="Times"/>
          <w:szCs w:val="18"/>
        </w:rPr>
        <w:t xml:space="preserve"> “</w:t>
      </w:r>
      <w:r>
        <w:rPr>
          <w:rFonts w:cs="Times" w:ascii="Times" w:hAnsi="Times"/>
          <w:szCs w:val="18"/>
        </w:rPr>
        <w:t xml:space="preserve">They were in the habit of meeting on a certain fixed day before it was light, when they sang an anthem to Christ as God, and bound themselves by a solemn oath not to commit any wicked deed, but to abstain from all fraud, theft and adultery, never to break their word, or deny a trust when called upon to honor it.” </w:t>
      </w:r>
      <w:r>
        <w:rPr>
          <w:rFonts w:cs="Times" w:ascii="Times" w:hAnsi="Times"/>
          <w:i w:val="false"/>
          <w:szCs w:val="18"/>
        </w:rPr>
        <w:t>–Pliny the Younger, Letter to Trajan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Practice of Early Christian Gatherings</w:t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5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Baptism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5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The Lord’s Supper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0"/>
        </w:numPr>
        <w:ind w:left="720" w:hanging="72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Forming the Canon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a)  Marcion</w:t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b)  Montanists</w:t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c) Establishing the Canon.</w:t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Leadership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Heading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Church Fathers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numPr>
          <w:ilvl w:val="0"/>
          <w:numId w:val="3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Apostolic Fathers – taught by the Apostles</w:t>
      </w:r>
    </w:p>
    <w:p>
      <w:pPr>
        <w:pStyle w:val="Normal"/>
        <w:ind w:left="72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numPr>
          <w:ilvl w:val="1"/>
          <w:numId w:val="3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Ignatius of Antioch</w:t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numPr>
          <w:ilvl w:val="1"/>
          <w:numId w:val="3"/>
        </w:numPr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Polycarp of Smyrna (</w:t>
      </w:r>
      <w:r>
        <w:rPr>
          <w:rFonts w:cs="Times" w:ascii="Times" w:hAnsi="Times"/>
          <w:i/>
          <w:sz w:val="26"/>
        </w:rPr>
        <w:t>Letter to the Philippians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Martyrdom of Polycarp</w:t>
      </w:r>
      <w:r>
        <w:rPr>
          <w:rFonts w:cs="Times" w:ascii="Times" w:hAnsi="Times"/>
          <w:sz w:val="26"/>
        </w:rPr>
        <w:t>)</w:t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ind w:left="180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bCs/>
          <w:sz w:val="26"/>
        </w:rPr>
        <w:t>2.</w:t>
      </w:r>
      <w:r>
        <w:rPr>
          <w:rFonts w:cs="Times" w:ascii="Times" w:hAnsi="Times"/>
          <w:sz w:val="26"/>
        </w:rPr>
        <w:t xml:space="preserve"> Apologetic Fathers</w:t>
      </w:r>
    </w:p>
    <w:p>
      <w:pPr>
        <w:pStyle w:val="Normal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Normal"/>
        <w:rPr>
          <w:rFonts w:ascii="Times" w:hAnsi="Times" w:cs="Times"/>
          <w:bCs/>
          <w:sz w:val="26"/>
        </w:rPr>
      </w:pPr>
      <w:r>
        <w:rPr>
          <w:rFonts w:cs="Times" w:ascii="Times" w:hAnsi="Times"/>
          <w:bCs/>
          <w:sz w:val="26"/>
        </w:rPr>
      </w:r>
    </w:p>
    <w:p>
      <w:pPr>
        <w:pStyle w:val="TextBodyIndent"/>
        <w:ind w:left="345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a.   Justin Martyr (</w:t>
      </w:r>
      <w:r>
        <w:rPr>
          <w:rFonts w:cs="Times" w:ascii="Times" w:hAnsi="Times"/>
          <w:i/>
          <w:sz w:val="26"/>
        </w:rPr>
        <w:t>Dialogue with Trypho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 xml:space="preserve">First </w:t>
      </w:r>
      <w:r>
        <w:rPr>
          <w:rFonts w:cs="Times" w:ascii="Times" w:hAnsi="Times"/>
          <w:sz w:val="26"/>
        </w:rPr>
        <w:t xml:space="preserve">and </w:t>
      </w:r>
      <w:r>
        <w:rPr>
          <w:rFonts w:cs="Times" w:ascii="Times" w:hAnsi="Times"/>
          <w:i/>
          <w:sz w:val="26"/>
        </w:rPr>
        <w:t>Second       Apologies</w:t>
      </w:r>
      <w:r>
        <w:rPr>
          <w:rFonts w:cs="Times" w:ascii="Times" w:hAnsi="Times"/>
          <w:sz w:val="26"/>
        </w:rPr>
        <w:t>)</w:t>
      </w:r>
    </w:p>
    <w:p>
      <w:pPr>
        <w:pStyle w:val="TextBodyIndent"/>
        <w:ind w:left="345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TextBodyIndent"/>
        <w:ind w:lef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TextBodyIndent"/>
        <w:ind w:lef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TextBodyIndent"/>
        <w:ind w:lef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TextBodyIndent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numPr>
          <w:ilvl w:val="0"/>
          <w:numId w:val="4"/>
        </w:numPr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Athenagoras of Athens</w:t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numPr>
          <w:ilvl w:val="0"/>
          <w:numId w:val="4"/>
        </w:numPr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Irenaeus of Lyons  (</w:t>
      </w:r>
      <w:r>
        <w:rPr>
          <w:rFonts w:cs="Times" w:ascii="Times" w:hAnsi="Times"/>
          <w:i/>
          <w:sz w:val="26"/>
        </w:rPr>
        <w:t>Against Heresies</w:t>
      </w:r>
      <w:r>
        <w:rPr>
          <w:rFonts w:cs="Times" w:ascii="Times" w:hAnsi="Times"/>
          <w:sz w:val="26"/>
        </w:rPr>
        <w:t>)</w:t>
      </w:r>
    </w:p>
    <w:p>
      <w:pPr>
        <w:pStyle w:val="BodyText2"/>
        <w:tabs>
          <w:tab w:val="left" w:pos="360" w:leader="none"/>
        </w:tabs>
        <w:ind w:left="720" w:righ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ind w:left="720" w:righ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ind w:left="720" w:righ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ind w:left="720" w:right="0" w:hanging="0"/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numPr>
          <w:ilvl w:val="0"/>
          <w:numId w:val="4"/>
        </w:numPr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Tertullian (</w:t>
      </w:r>
      <w:r>
        <w:rPr>
          <w:rFonts w:cs="Times" w:ascii="Times" w:hAnsi="Times"/>
          <w:i/>
          <w:sz w:val="26"/>
        </w:rPr>
        <w:t>Apology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On Patience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On Prayer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To The Martyrs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On the Spectacles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On Idolatry</w:t>
      </w:r>
      <w:r>
        <w:rPr>
          <w:rFonts w:cs="Times" w:ascii="Times" w:hAnsi="Times"/>
          <w:sz w:val="26"/>
        </w:rPr>
        <w:t xml:space="preserve">, </w:t>
      </w:r>
      <w:r>
        <w:rPr>
          <w:rFonts w:cs="Times" w:ascii="Times" w:hAnsi="Times"/>
          <w:i/>
          <w:sz w:val="26"/>
        </w:rPr>
        <w:t>On the Flesh of Christ</w:t>
      </w:r>
      <w:r>
        <w:rPr>
          <w:rFonts w:cs="Times" w:ascii="Times" w:hAnsi="Times"/>
          <w:sz w:val="26"/>
        </w:rPr>
        <w:t>)</w:t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numPr>
          <w:ilvl w:val="0"/>
          <w:numId w:val="4"/>
        </w:numPr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Clement of Alexandria</w:t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</w:r>
    </w:p>
    <w:p>
      <w:pPr>
        <w:pStyle w:val="BodyText2"/>
        <w:numPr>
          <w:ilvl w:val="0"/>
          <w:numId w:val="4"/>
        </w:numPr>
        <w:tabs>
          <w:tab w:val="left" w:pos="360" w:leader="none"/>
        </w:tabs>
        <w:rPr>
          <w:rFonts w:ascii="Times" w:hAnsi="Times" w:cs="Times"/>
          <w:sz w:val="26"/>
        </w:rPr>
      </w:pPr>
      <w:r>
        <w:rPr>
          <w:rFonts w:cs="Times" w:ascii="Times" w:hAnsi="Times"/>
          <w:sz w:val="26"/>
        </w:rPr>
        <w:t>Origen</w:t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576" w:right="662" w:header="0" w:top="720" w:footer="0" w:bottom="576" w:gutter="0"/>
      <w:pgNumType w:fmt="decimal"/>
      <w:cols w:num="2" w:space="72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4d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34d8c"/>
    <w:pPr>
      <w:keepNext/>
      <w:jc w:val="center"/>
      <w:outlineLvl w:val="0"/>
    </w:pPr>
    <w:rPr>
      <w:rFonts w:ascii="Garamond" w:hAnsi="Garamond"/>
      <w:b/>
      <w:sz w:val="36"/>
      <w:szCs w:val="20"/>
    </w:rPr>
  </w:style>
  <w:style w:type="paragraph" w:styleId="Heading2">
    <w:name w:val="Heading 2"/>
    <w:basedOn w:val="Normal"/>
    <w:next w:val="Normal"/>
    <w:qFormat/>
    <w:rsid w:val="00f34d8c"/>
    <w:pPr>
      <w:keepNext/>
      <w:numPr>
        <w:ilvl w:val="0"/>
        <w:numId w:val="1"/>
      </w:numPr>
      <w:outlineLvl w:val="0"/>
      <w:outlineLvl w:val="0"/>
    </w:pPr>
    <w:rPr>
      <w:rFonts w:ascii="Garamond" w:hAnsi="Garamond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nhideWhenUsed/>
    <w:rsid w:val="00ed287b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rsid w:val="00f34d8c"/>
    <w:pPr/>
    <w:rPr>
      <w:i/>
      <w:iCs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Text Body Indent"/>
    <w:basedOn w:val="Normal"/>
    <w:rsid w:val="00f34d8c"/>
    <w:pPr>
      <w:ind w:left="720" w:hanging="0"/>
    </w:pPr>
    <w:rPr>
      <w:rFonts w:ascii="Garamond" w:hAnsi="Garamond"/>
      <w:sz w:val="20"/>
      <w:szCs w:val="20"/>
    </w:rPr>
  </w:style>
  <w:style w:type="paragraph" w:styleId="BodyText2">
    <w:name w:val="Body Text 2"/>
    <w:basedOn w:val="Normal"/>
    <w:qFormat/>
    <w:rsid w:val="00f34d8c"/>
    <w:pPr>
      <w:ind w:right="0" w:hanging="0"/>
    </w:pPr>
    <w:rPr>
      <w:rFonts w:ascii="Garamond" w:hAnsi="Garamond"/>
      <w:szCs w:val="20"/>
    </w:rPr>
  </w:style>
  <w:style w:type="paragraph" w:styleId="ColorfulListAccent11" w:customStyle="1">
    <w:name w:val="Colorful List - Accent 11"/>
    <w:basedOn w:val="Normal"/>
    <w:uiPriority w:val="34"/>
    <w:qFormat/>
    <w:rsid w:val="00c92013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49</Paragraphs>
  <Company>Department of State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2014-02-20T22:09:00Z</dcterms:created>
  <dc:creator>OESDRL</dc:creator>
  <dc:language>en-US</dc:language>
  <cp:lastPrinted>2013-03-10T03:33:00Z</cp:lastPrinted>
  <dcterms:modified xsi:type="dcterms:W3CDTF">2016-12-06T19:52:56Z</dcterms:modified>
  <cp:revision>9</cp:revision>
  <dc:title>Capitol Hill Baptist Church           Church History – Session 2 CORE SEMINARS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Department of State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